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094948"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294D112B" w14:textId="77777777" w:rsidR="000B7810" w:rsidRDefault="000B7810" w:rsidP="00CB41C4">
      <w:pPr>
        <w:tabs>
          <w:tab w:val="left" w:leader="underscore" w:pos="9639"/>
        </w:tabs>
        <w:spacing w:after="0" w:line="240" w:lineRule="auto"/>
        <w:jc w:val="center"/>
        <w:rPr>
          <w:rFonts w:ascii="Times New Roman" w:hAnsi="Times New Roman"/>
          <w:sz w:val="24"/>
          <w:szCs w:val="24"/>
        </w:rPr>
      </w:pPr>
    </w:p>
    <w:p w14:paraId="095A31C3" w14:textId="77777777" w:rsidR="0089151C" w:rsidRPr="00657009" w:rsidRDefault="0089151C" w:rsidP="00CB41C4">
      <w:pPr>
        <w:tabs>
          <w:tab w:val="left" w:leader="underscore" w:pos="9639"/>
        </w:tabs>
        <w:spacing w:after="0" w:line="240" w:lineRule="auto"/>
        <w:jc w:val="center"/>
        <w:rPr>
          <w:rFonts w:ascii="Times New Roman" w:hAnsi="Times New Roman"/>
          <w:sz w:val="24"/>
          <w:szCs w:val="24"/>
        </w:rPr>
      </w:pPr>
    </w:p>
    <w:p w14:paraId="67780918" w14:textId="77777777" w:rsidR="0089151C" w:rsidRPr="0089151C" w:rsidRDefault="0089151C" w:rsidP="0089151C">
      <w:pPr>
        <w:spacing w:after="0" w:line="240" w:lineRule="exact"/>
        <w:jc w:val="center"/>
        <w:rPr>
          <w:rFonts w:ascii="Arial" w:eastAsia="Times New Roman" w:hAnsi="Arial" w:cs="Arial"/>
          <w:b/>
          <w:sz w:val="20"/>
          <w:szCs w:val="20"/>
          <w:lang w:eastAsia="es-ES"/>
        </w:rPr>
      </w:pPr>
      <w:r w:rsidRPr="0089151C">
        <w:rPr>
          <w:rFonts w:ascii="Arial" w:eastAsia="Times New Roman" w:hAnsi="Arial" w:cs="Arial"/>
          <w:b/>
          <w:sz w:val="20"/>
          <w:szCs w:val="20"/>
          <w:lang w:eastAsia="es-ES"/>
        </w:rPr>
        <w:t>c) NOTAS DE GESTIÓN ADMINISTRATIVA</w:t>
      </w:r>
    </w:p>
    <w:p w14:paraId="0301D5D5" w14:textId="77777777" w:rsidR="0089151C" w:rsidRPr="0089151C" w:rsidRDefault="0089151C" w:rsidP="0089151C">
      <w:pPr>
        <w:spacing w:after="0" w:line="240" w:lineRule="exact"/>
        <w:jc w:val="center"/>
        <w:rPr>
          <w:rFonts w:ascii="Arial" w:eastAsia="Times New Roman" w:hAnsi="Arial" w:cs="Arial"/>
          <w:b/>
          <w:sz w:val="20"/>
          <w:szCs w:val="20"/>
          <w:lang w:eastAsia="es-ES"/>
        </w:rPr>
      </w:pPr>
    </w:p>
    <w:p w14:paraId="7875065F" w14:textId="77777777" w:rsidR="0089151C" w:rsidRPr="0089151C" w:rsidRDefault="0089151C" w:rsidP="0089151C">
      <w:pPr>
        <w:keepNext/>
        <w:keepLines/>
        <w:numPr>
          <w:ilvl w:val="0"/>
          <w:numId w:val="2"/>
        </w:numPr>
        <w:spacing w:before="40" w:after="0" w:line="240" w:lineRule="auto"/>
        <w:outlineLvl w:val="1"/>
        <w:rPr>
          <w:rFonts w:ascii="Arial" w:eastAsia="Times New Roman" w:hAnsi="Arial" w:cs="Arial"/>
          <w:b/>
          <w:sz w:val="20"/>
          <w:szCs w:val="20"/>
          <w:lang w:val="es-ES" w:eastAsia="es-ES"/>
        </w:rPr>
      </w:pPr>
      <w:bookmarkStart w:id="0" w:name="_Toc508279621"/>
      <w:r w:rsidRPr="0089151C">
        <w:rPr>
          <w:rFonts w:ascii="Arial" w:eastAsia="Times New Roman" w:hAnsi="Arial" w:cs="Arial"/>
          <w:b/>
          <w:sz w:val="20"/>
          <w:szCs w:val="20"/>
          <w:lang w:val="es-ES" w:eastAsia="es-ES"/>
        </w:rPr>
        <w:t>Introducción:</w:t>
      </w:r>
      <w:bookmarkEnd w:id="0"/>
    </w:p>
    <w:p w14:paraId="3C825AFB" w14:textId="77777777" w:rsidR="0089151C" w:rsidRPr="0089151C" w:rsidRDefault="0089151C" w:rsidP="0089151C">
      <w:pPr>
        <w:rPr>
          <w:rFonts w:ascii="Arial" w:hAnsi="Arial" w:cs="Arial"/>
          <w:sz w:val="20"/>
          <w:szCs w:val="20"/>
          <w:lang w:val="es-ES" w:eastAsia="es-ES"/>
        </w:rPr>
      </w:pPr>
      <w:r w:rsidRPr="0089151C">
        <w:rPr>
          <w:rFonts w:ascii="Arial" w:hAnsi="Arial" w:cs="Arial"/>
          <w:sz w:val="20"/>
          <w:szCs w:val="20"/>
          <w:lang w:val="es-ES" w:eastAsia="es-ES"/>
        </w:rPr>
        <w:t>El ITESS  es una institución de relativamente reciente creación y su actividad consiste principalmente en formar profesionistas pa</w:t>
      </w:r>
      <w:bookmarkStart w:id="1" w:name="_GoBack"/>
      <w:bookmarkEnd w:id="1"/>
      <w:r w:rsidRPr="0089151C">
        <w:rPr>
          <w:rFonts w:ascii="Arial" w:hAnsi="Arial" w:cs="Arial"/>
          <w:sz w:val="20"/>
          <w:szCs w:val="20"/>
          <w:lang w:val="es-ES" w:eastAsia="es-ES"/>
        </w:rPr>
        <w:t>ra lograr el desarrollo económico y cultural del estado de Guanajuato el cual ha venido incrementando su matrícula en el ciclo 2018 - 2019 de 1,190 en el ciclo 2019 - 2020 de 1,346 y se espera una matrícula del ciclo 2020-2021 de 1360 estudiantes distribuidos en sus 5 carreras ofertadas.</w:t>
      </w:r>
    </w:p>
    <w:p w14:paraId="6FE93250"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2" w:name="_Toc508279622"/>
      <w:r w:rsidRPr="0089151C">
        <w:rPr>
          <w:rFonts w:ascii="Arial" w:eastAsia="Times New Roman" w:hAnsi="Arial" w:cs="Arial"/>
          <w:b/>
          <w:sz w:val="20"/>
          <w:szCs w:val="20"/>
          <w:lang w:val="es-ES" w:eastAsia="es-ES"/>
        </w:rPr>
        <w:t>2. Describir el panorama Económico y Financiero:</w:t>
      </w:r>
      <w:bookmarkEnd w:id="2"/>
    </w:p>
    <w:p w14:paraId="603C0CD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informará sobre las principales condiciones económico-financieras bajo las cuales el ente público estuvo operando; y las cuales influyeron en la toma de decisiones de la administración; tanto a nivel local como federal.</w:t>
      </w:r>
    </w:p>
    <w:p w14:paraId="7AC47B2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El instituto tecnológico superior de Salvatierra obtiene sus recursos financieros a través de subsidios de origen federal, estatal, eventualmente municipales y por recurso obtenidos por otros conceptos tales como concesión de cafetería y cursos ofertados en general. Todo esto permite que el instituto cumpla con su actividad primordial de formar profesionistas que permitan desarrollar a la región y al país.</w:t>
      </w:r>
    </w:p>
    <w:p w14:paraId="5EB6519A"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3" w:name="_Toc508279623"/>
      <w:r w:rsidRPr="0089151C">
        <w:rPr>
          <w:rFonts w:ascii="Arial" w:eastAsia="Times New Roman" w:hAnsi="Arial" w:cs="Arial"/>
          <w:b/>
          <w:sz w:val="20"/>
          <w:szCs w:val="20"/>
          <w:lang w:val="es-ES" w:eastAsia="es-ES"/>
        </w:rPr>
        <w:t>3. Autorización e Historia:</w:t>
      </w:r>
      <w:bookmarkEnd w:id="3"/>
    </w:p>
    <w:p w14:paraId="13655C4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a)   Fecha de creación del ente. La institución nace por decreto en agosto de 2009.</w:t>
      </w:r>
    </w:p>
    <w:p w14:paraId="3292201B"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Principales cambios en su estructura (interna históricamente).</w:t>
      </w:r>
    </w:p>
    <w:p w14:paraId="2AE67F81" w14:textId="77777777" w:rsidR="0089151C" w:rsidRPr="0089151C" w:rsidRDefault="0089151C" w:rsidP="0089151C">
      <w:pPr>
        <w:rPr>
          <w:rFonts w:ascii="Arial" w:hAnsi="Arial" w:cs="Arial"/>
          <w:sz w:val="20"/>
          <w:szCs w:val="20"/>
          <w:lang w:val="es-ES" w:eastAsia="es-ES"/>
        </w:rPr>
      </w:pPr>
      <w:r w:rsidRPr="0089151C">
        <w:rPr>
          <w:rFonts w:ascii="Arial" w:hAnsi="Arial" w:cs="Arial"/>
          <w:sz w:val="20"/>
          <w:szCs w:val="20"/>
          <w:lang w:val="es-ES" w:eastAsia="es-ES"/>
        </w:rPr>
        <w:t>Por incremento de matrícula pasó de estructura B a C. Por la matrícula al contar con una Matrícula de más de 1000 alumnos</w:t>
      </w:r>
    </w:p>
    <w:p w14:paraId="67B64D94"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4" w:name="_Toc508279624"/>
      <w:r w:rsidRPr="0089151C">
        <w:rPr>
          <w:rFonts w:ascii="Arial" w:eastAsia="Times New Roman" w:hAnsi="Arial" w:cs="Arial"/>
          <w:b/>
          <w:sz w:val="20"/>
          <w:szCs w:val="20"/>
          <w:lang w:val="es-ES" w:eastAsia="es-ES"/>
        </w:rPr>
        <w:t>4. Organización y Objeto Social:</w:t>
      </w:r>
      <w:bookmarkEnd w:id="4"/>
    </w:p>
    <w:p w14:paraId="57CB1F2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informará sobre:</w:t>
      </w:r>
    </w:p>
    <w:p w14:paraId="2677D738"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Objeto social: Contribuir, a través del proceso educativo, a mejorar las condiciones  de vida de los guanajuatenses</w:t>
      </w:r>
    </w:p>
    <w:p w14:paraId="5E8838F6"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Principal actividad. Ofertar Educación Superior Tecnológica</w:t>
      </w:r>
    </w:p>
    <w:p w14:paraId="2AFE295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c)</w:t>
      </w:r>
      <w:r w:rsidRPr="0089151C">
        <w:rPr>
          <w:rFonts w:ascii="Arial" w:hAnsi="Arial" w:cs="Arial"/>
          <w:sz w:val="20"/>
          <w:szCs w:val="20"/>
          <w:lang w:val="es-ES" w:eastAsia="es-ES"/>
        </w:rPr>
        <w:t xml:space="preserve"> Ejercicio fiscal : Enero a diciembre de 2019.</w:t>
      </w:r>
    </w:p>
    <w:p w14:paraId="738568CA"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d)</w:t>
      </w:r>
      <w:r w:rsidRPr="0089151C">
        <w:rPr>
          <w:rFonts w:ascii="Arial" w:hAnsi="Arial" w:cs="Arial"/>
          <w:sz w:val="20"/>
          <w:szCs w:val="20"/>
          <w:lang w:val="es-ES" w:eastAsia="es-ES"/>
        </w:rPr>
        <w:t xml:space="preserve"> Régimen jurídico (Forma como está dada de alta la entidad ante la S.H.C.P. Personas morales sin fines de lucro, etc.).</w:t>
      </w:r>
    </w:p>
    <w:p w14:paraId="6011FA5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Personas morales sin fines de lucro.</w:t>
      </w:r>
    </w:p>
    <w:p w14:paraId="2CBD468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e)</w:t>
      </w:r>
      <w:r w:rsidRPr="0089151C">
        <w:rPr>
          <w:rFonts w:ascii="Arial" w:hAnsi="Arial" w:cs="Arial"/>
          <w:sz w:val="20"/>
          <w:szCs w:val="20"/>
          <w:lang w:val="es-ES" w:eastAsia="es-ES"/>
        </w:rPr>
        <w:t xml:space="preserve"> Consideraciones fiscales del ente: Revelar el tipo de contribuciones que esté obligado a pagar o retener.</w:t>
      </w:r>
    </w:p>
    <w:p w14:paraId="7448677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Retener y Enterar ISR por Salarios, Retener y enterar ISR por arrendamiento, Retener y enterar ISR por retención sobre honorarios. Impuesto estatal sobre nóminas, Retener y enterar impuesto estatal cedular por honorarios y arrendamiento</w:t>
      </w:r>
    </w:p>
    <w:p w14:paraId="18B6FF3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3F692ACF"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f)</w:t>
      </w:r>
      <w:r w:rsidRPr="0089151C">
        <w:rPr>
          <w:rFonts w:ascii="Arial" w:hAnsi="Arial" w:cs="Arial"/>
          <w:sz w:val="20"/>
          <w:szCs w:val="20"/>
          <w:lang w:val="es-ES" w:eastAsia="es-ES"/>
        </w:rPr>
        <w:t xml:space="preserve"> Estructura organizacional básica.</w:t>
      </w:r>
    </w:p>
    <w:p w14:paraId="409C1487" w14:textId="77777777" w:rsidR="0089151C" w:rsidRPr="0089151C" w:rsidRDefault="0089151C" w:rsidP="0089151C">
      <w:pPr>
        <w:tabs>
          <w:tab w:val="left" w:leader="underscore" w:pos="9639"/>
        </w:tabs>
        <w:spacing w:after="0" w:line="240" w:lineRule="auto"/>
        <w:ind w:firstLine="708"/>
        <w:jc w:val="both"/>
        <w:rPr>
          <w:rFonts w:ascii="Arial" w:hAnsi="Arial" w:cs="Arial"/>
          <w:sz w:val="20"/>
          <w:szCs w:val="20"/>
          <w:lang w:val="es-ES" w:eastAsia="es-ES"/>
        </w:rPr>
      </w:pPr>
      <w:r w:rsidRPr="0089151C">
        <w:rPr>
          <w:rFonts w:ascii="Arial" w:hAnsi="Arial" w:cs="Arial"/>
          <w:sz w:val="20"/>
          <w:szCs w:val="20"/>
          <w:lang w:val="es-ES" w:eastAsia="es-ES"/>
        </w:rPr>
        <w:t>*Anexar organigrama de la entidad.</w:t>
      </w:r>
    </w:p>
    <w:p w14:paraId="61A63F16" w14:textId="44D91BD0" w:rsidR="00E46E7C" w:rsidRDefault="00E46E7C" w:rsidP="00CB41C4">
      <w:pPr>
        <w:tabs>
          <w:tab w:val="left" w:leader="underscore" w:pos="9639"/>
        </w:tabs>
        <w:spacing w:after="0" w:line="240" w:lineRule="auto"/>
        <w:jc w:val="both"/>
        <w:rPr>
          <w:rFonts w:cs="Calibri"/>
        </w:rPr>
      </w:pPr>
    </w:p>
    <w:p w14:paraId="1F7F5EF0" w14:textId="77777777" w:rsidR="0089151C" w:rsidRDefault="0089151C" w:rsidP="00CB41C4">
      <w:pPr>
        <w:tabs>
          <w:tab w:val="left" w:leader="underscore" w:pos="9639"/>
        </w:tabs>
        <w:spacing w:after="0" w:line="240" w:lineRule="auto"/>
        <w:jc w:val="both"/>
        <w:rPr>
          <w:rFonts w:cs="Calibri"/>
        </w:rPr>
      </w:pPr>
    </w:p>
    <w:p w14:paraId="7469CF3D" w14:textId="77777777" w:rsidR="0089151C" w:rsidRDefault="0089151C" w:rsidP="00CB41C4">
      <w:pPr>
        <w:tabs>
          <w:tab w:val="left" w:leader="underscore" w:pos="9639"/>
        </w:tabs>
        <w:spacing w:after="0" w:line="240" w:lineRule="auto"/>
        <w:jc w:val="both"/>
        <w:rPr>
          <w:rFonts w:cs="Calibri"/>
        </w:rPr>
      </w:pPr>
    </w:p>
    <w:p w14:paraId="1A403DE4" w14:textId="77777777" w:rsidR="0089151C" w:rsidRDefault="0089151C" w:rsidP="00CB41C4">
      <w:pPr>
        <w:tabs>
          <w:tab w:val="left" w:leader="underscore" w:pos="9639"/>
        </w:tabs>
        <w:spacing w:after="0" w:line="240" w:lineRule="auto"/>
        <w:jc w:val="both"/>
        <w:rPr>
          <w:rFonts w:cs="Calibri"/>
        </w:rPr>
      </w:pPr>
    </w:p>
    <w:p w14:paraId="2D930881" w14:textId="3D3C718A" w:rsidR="0089151C" w:rsidRDefault="0089151C" w:rsidP="00CB41C4">
      <w:pPr>
        <w:tabs>
          <w:tab w:val="left" w:leader="underscore" w:pos="9639"/>
        </w:tabs>
        <w:spacing w:after="0" w:line="240" w:lineRule="auto"/>
        <w:jc w:val="both"/>
        <w:rPr>
          <w:rFonts w:cs="Calibri"/>
        </w:rPr>
      </w:pPr>
      <w:r>
        <w:rPr>
          <w:noProof/>
          <w:lang w:eastAsia="es-MX"/>
        </w:rPr>
        <w:lastRenderedPageBreak/>
        <w:drawing>
          <wp:inline distT="0" distB="0" distL="0" distR="0" wp14:anchorId="52DC7EF1" wp14:editId="6FFECC26">
            <wp:extent cx="8134185" cy="5557520"/>
            <wp:effectExtent l="0" t="0" r="635" b="508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43202" cy="5563680"/>
                    </a:xfrm>
                    <a:prstGeom prst="rect">
                      <a:avLst/>
                    </a:prstGeom>
                    <a:noFill/>
                  </pic:spPr>
                </pic:pic>
              </a:graphicData>
            </a:graphic>
          </wp:inline>
        </w:drawing>
      </w:r>
    </w:p>
    <w:p w14:paraId="1CEABD86" w14:textId="77777777" w:rsidR="0089151C" w:rsidRDefault="0089151C" w:rsidP="00CB41C4">
      <w:pPr>
        <w:tabs>
          <w:tab w:val="left" w:leader="underscore" w:pos="9639"/>
        </w:tabs>
        <w:spacing w:after="0" w:line="240" w:lineRule="auto"/>
        <w:jc w:val="both"/>
        <w:rPr>
          <w:rFonts w:cs="Calibri"/>
        </w:rPr>
      </w:pPr>
    </w:p>
    <w:p w14:paraId="77424718" w14:textId="77777777" w:rsidR="0089151C" w:rsidRDefault="0089151C" w:rsidP="00CB41C4">
      <w:pPr>
        <w:tabs>
          <w:tab w:val="left" w:leader="underscore" w:pos="9639"/>
        </w:tabs>
        <w:spacing w:after="0" w:line="240" w:lineRule="auto"/>
        <w:jc w:val="both"/>
        <w:rPr>
          <w:rFonts w:cs="Calibri"/>
        </w:rPr>
      </w:pPr>
    </w:p>
    <w:p w14:paraId="77FC00E1"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lastRenderedPageBreak/>
        <w:t>g)</w:t>
      </w:r>
      <w:r w:rsidRPr="0089151C">
        <w:rPr>
          <w:rFonts w:ascii="Arial" w:hAnsi="Arial" w:cs="Arial"/>
          <w:sz w:val="20"/>
          <w:szCs w:val="20"/>
          <w:lang w:val="es-ES" w:eastAsia="es-ES"/>
        </w:rPr>
        <w:t xml:space="preserve"> Fideicomisos, mandatos y análogos de los cuales es fideicomitente o fideicomisario.</w:t>
      </w:r>
    </w:p>
    <w:p w14:paraId="19BABDA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NO APLICA ya que no contamos con ninguna figura de este tipo</w:t>
      </w:r>
    </w:p>
    <w:p w14:paraId="2C09E078"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5" w:name="_Toc508279625"/>
      <w:r w:rsidRPr="0089151C">
        <w:rPr>
          <w:rFonts w:ascii="Arial" w:eastAsia="Times New Roman" w:hAnsi="Arial" w:cs="Arial"/>
          <w:b/>
          <w:sz w:val="20"/>
          <w:szCs w:val="20"/>
          <w:lang w:val="es-ES" w:eastAsia="es-ES"/>
        </w:rPr>
        <w:t>5. Bases de Preparación de los Estados Financieros:</w:t>
      </w:r>
      <w:bookmarkEnd w:id="5"/>
    </w:p>
    <w:p w14:paraId="11F535A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informará sobre:</w:t>
      </w:r>
    </w:p>
    <w:p w14:paraId="0718549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Si se ha observado la normatividad emitida por el CONAC y las disposiciones legales aplicables.</w:t>
      </w:r>
    </w:p>
    <w:p w14:paraId="4B72B1B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Sí, se han revisado los documentos normativos relacionados con los Estados Financieros (Normas y Metodología para la emisión de información financiera y estructura de los estados financieros básicos del ente público y características de sus notas.</w:t>
      </w:r>
    </w:p>
    <w:p w14:paraId="0A17EF61"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53471D6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Al conocer los documentos de CONAC se comprende lo antes mencionado. (Principales reglas de registro y valoración del patrimonio, así como las reglas específicas del registro y valoración del patrimonio)</w:t>
      </w:r>
    </w:p>
    <w:p w14:paraId="6A40B97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c)</w:t>
      </w:r>
      <w:r w:rsidRPr="0089151C">
        <w:rPr>
          <w:rFonts w:ascii="Arial" w:hAnsi="Arial" w:cs="Arial"/>
          <w:sz w:val="20"/>
          <w:szCs w:val="20"/>
          <w:lang w:val="es-ES" w:eastAsia="es-ES"/>
        </w:rPr>
        <w:t xml:space="preserve"> Postulados básicos.</w:t>
      </w:r>
    </w:p>
    <w:p w14:paraId="5018B08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SUSTANCIA ECONOMICA Se realizó el reconocimiento contable de las transacciones, transformaciones internas y otros eventos, que afectan económicamente al organismo público y delimitan la operación del Sistema de Contabilidad. Se estructuró de tal manera que permite la delimitación y operación del organismo público, apegándose a la normatividad, reflejando la situación económica contable de las transacciones, que integran la información, proporcionando los elementos necesarios para una adecuada toma de decisiones. </w:t>
      </w:r>
    </w:p>
    <w:p w14:paraId="5E39D74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ENTE PÚBLICO El organismo cuenta con el Reglamento Orgánico, en el que se establecen sus objetivos, su ámbito de acción y sus limitaciones; con atribuciones para asumir derechos y contraer obligaciones.</w:t>
      </w:r>
    </w:p>
    <w:p w14:paraId="6C04B8A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EXISTENCIA PERMANENTE La actividad del organismo público al no tener fecha de término se asume por tiempo indefinido, por lo que el sistema contable del organismo es considerado por el mismo periodo de vida.</w:t>
      </w:r>
    </w:p>
    <w:p w14:paraId="0C2BB94E"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REVELACION SUFICIENTE Los estados y la información financiera muestran amplia y claramente la situación financiera y los resultados del organismo.</w:t>
      </w:r>
    </w:p>
    <w:p w14:paraId="04709D76"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IMPORTANCIA RELATIVA La información correspondiente al presente periodo muestran los aspectos más importantes de la entidad que fueron reconocidos contablemente. </w:t>
      </w:r>
    </w:p>
    <w:p w14:paraId="6F556D3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REGISTRO E INTEGRACION PRESUPUESTARIA La información presupuestaria del organismo, se integran en la contabilidad en los mismos términos que se presentan en el Pronóstico de Ingresos y en el Presupuesto Egresos, de acuerdo a la naturaleza económica que le corresponde. El registro presupuestario del ingreso y del egreso del organismo reflejados en la contabilidad, se consideran sus efectos patrimoniales y su vinculación con las etapas presupuestarias correspondientes.</w:t>
      </w:r>
    </w:p>
    <w:p w14:paraId="3B4BBD68"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CONSOLIDACION DE LA INFORMACION FINANCIERA Los estados financieros del organismo presentar la situación financiera, los resultados de operación, el flujo de efectivo o los cambios en la situación financiera y las variaciones a la Hacienda Pública.</w:t>
      </w:r>
    </w:p>
    <w:p w14:paraId="63AE244F"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DEVENGO CONTABLE Los registros contables del organismo se realizaron con base acumulativa. El ingreso devengado, es el momento contable que se realiza cuando existe jurídicamente el derecho de cobro, de los derechos, productos, aprovechamientos y otros ingresos. El gasto devengado, es el momento contable que refleja el reconocimiento de una obligación de pago a favor de terceros por la recepción de conformidad de bienes, servicios contratados. </w:t>
      </w:r>
    </w:p>
    <w:p w14:paraId="2AB3C94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PERIODO CONTABLE La vida del organismo se divide en períodos uniformes del año calendario, correspondiendo al presente ejercicio 2019.</w:t>
      </w:r>
    </w:p>
    <w:p w14:paraId="4E3CCBA8"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VALUACION Todos los eventos que afectaron económicamente al organismo en el periodo que se informa se cuantificaron en términos monetarios y se registraron a costo histórico y en moneda nacional.</w:t>
      </w:r>
    </w:p>
    <w:p w14:paraId="0D5DCE5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DUALIDAD ECONOMICA El organismo reconoció en la contabilidad, la representación de las transacciones y otros eventos que afectaron su situación financiera, su composición por los recursos asignados para el logro de sus fines y por su fuente de financiamiento, conforme a los derechos y obligaciones. </w:t>
      </w:r>
    </w:p>
    <w:p w14:paraId="62C19F11"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CONSISTENCIA En operaciones similares realizadas en el organismo, se aplicó de manera sistemática un mismo criterio de tratamiento contable. Las Bases de Preparación de los Estados Financieros aplican los Postulados Básicos.</w:t>
      </w:r>
    </w:p>
    <w:p w14:paraId="3900499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lastRenderedPageBreak/>
        <w:t>d)</w:t>
      </w:r>
      <w:r w:rsidRPr="0089151C">
        <w:rPr>
          <w:rFonts w:ascii="Arial" w:hAnsi="Arial" w:cs="Arial"/>
          <w:sz w:val="20"/>
          <w:szCs w:val="20"/>
          <w:lang w:val="es-ES" w:eastAsia="es-ES"/>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5B14B7DE"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No se aplicó ninguna norma supletoria.</w:t>
      </w:r>
    </w:p>
    <w:p w14:paraId="44DEA37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e)</w:t>
      </w:r>
      <w:r w:rsidRPr="0089151C">
        <w:rPr>
          <w:rFonts w:ascii="Arial" w:hAnsi="Arial" w:cs="Arial"/>
          <w:sz w:val="20"/>
          <w:szCs w:val="20"/>
          <w:lang w:val="es-ES" w:eastAsia="es-ES"/>
        </w:rPr>
        <w:t xml:space="preserve"> Para las entidades que por primera vez estén implementando la base devengado de acuerdo a la Ley de Contabilidad, deberán:</w:t>
      </w:r>
    </w:p>
    <w:p w14:paraId="2C3170E2"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*Revelar las nuevas políticas de reconocimiento: NO APLICA </w:t>
      </w:r>
    </w:p>
    <w:p w14:paraId="7FC45C7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*Plan de implementación: NO APLICA </w:t>
      </w:r>
    </w:p>
    <w:p w14:paraId="2B1C8E0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*Revelar los cambios en las políticas, la clasificación y medición de las mismas, así como su impacto en la información financiera: NO APLICA </w:t>
      </w:r>
    </w:p>
    <w:p w14:paraId="0180CCE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45417C28" w14:textId="77777777" w:rsidR="0089151C" w:rsidRPr="0089151C" w:rsidRDefault="0089151C" w:rsidP="0089151C">
      <w:pPr>
        <w:keepNext/>
        <w:keepLines/>
        <w:spacing w:before="40" w:after="0"/>
        <w:outlineLvl w:val="1"/>
        <w:rPr>
          <w:rFonts w:ascii="Arial" w:eastAsia="Times New Roman" w:hAnsi="Arial" w:cs="Arial"/>
          <w:b/>
          <w:color w:val="365F91"/>
          <w:sz w:val="20"/>
          <w:szCs w:val="20"/>
          <w:lang w:val="es-ES" w:eastAsia="es-ES"/>
        </w:rPr>
      </w:pPr>
      <w:bookmarkStart w:id="6" w:name="_Toc508279626"/>
      <w:r w:rsidRPr="0089151C">
        <w:rPr>
          <w:rFonts w:ascii="Arial" w:eastAsia="Times New Roman" w:hAnsi="Arial" w:cs="Arial"/>
          <w:b/>
          <w:sz w:val="20"/>
          <w:szCs w:val="20"/>
          <w:lang w:val="es-ES" w:eastAsia="es-ES"/>
        </w:rPr>
        <w:t>6. Políticas de Contabilidad Significativas:</w:t>
      </w:r>
      <w:bookmarkEnd w:id="6"/>
    </w:p>
    <w:p w14:paraId="7C44D3E2"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Actualización: se informará del método utilizado para la actualización del valor de los activos, pasivos y Hacienda Pública/Patrimonio y las razones de dicha elección. Así como informar de la desconexión o reconexión inflacionaria: NO APLICA </w:t>
      </w:r>
    </w:p>
    <w:p w14:paraId="77818A1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Informar sobre la realización de operaciones en el extranjero y de sus efectos en la información financiera gubernamental: NO APLICA </w:t>
      </w:r>
    </w:p>
    <w:p w14:paraId="3F9BCACE"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c)</w:t>
      </w:r>
      <w:r w:rsidRPr="0089151C">
        <w:rPr>
          <w:rFonts w:ascii="Arial" w:hAnsi="Arial" w:cs="Arial"/>
          <w:sz w:val="20"/>
          <w:szCs w:val="20"/>
          <w:lang w:val="es-ES" w:eastAsia="es-ES"/>
        </w:rPr>
        <w:t xml:space="preserve"> Método de valuación de la inversión en acciones de Compañías subsidiarias no consolidadas y asociadas: NO APLICA </w:t>
      </w:r>
    </w:p>
    <w:p w14:paraId="56C0261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d)</w:t>
      </w:r>
      <w:r w:rsidRPr="0089151C">
        <w:rPr>
          <w:rFonts w:ascii="Arial" w:hAnsi="Arial" w:cs="Arial"/>
          <w:sz w:val="20"/>
          <w:szCs w:val="20"/>
          <w:lang w:val="es-ES" w:eastAsia="es-ES"/>
        </w:rPr>
        <w:t xml:space="preserve"> Sistema y método de valuación de inventarios y costo de lo vendido: NO APLICA</w:t>
      </w:r>
    </w:p>
    <w:p w14:paraId="24811CD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e)</w:t>
      </w:r>
      <w:r w:rsidRPr="0089151C">
        <w:rPr>
          <w:rFonts w:ascii="Arial" w:hAnsi="Arial" w:cs="Arial"/>
          <w:sz w:val="20"/>
          <w:szCs w:val="20"/>
          <w:lang w:val="es-ES" w:eastAsia="es-ES"/>
        </w:rPr>
        <w:t xml:space="preserve"> Beneficios a empleados: revelar el cálculo de la reserva actuarial, valor presente de los ingresos esperados comparado con el valor presente de la estimación de gastos tanto de los beneficiarios actuales como futuros: NO APLICA </w:t>
      </w:r>
    </w:p>
    <w:p w14:paraId="083D171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f)</w:t>
      </w:r>
      <w:r w:rsidRPr="0089151C">
        <w:rPr>
          <w:rFonts w:ascii="Arial" w:hAnsi="Arial" w:cs="Arial"/>
          <w:sz w:val="20"/>
          <w:szCs w:val="20"/>
          <w:lang w:val="es-ES" w:eastAsia="es-ES"/>
        </w:rPr>
        <w:t xml:space="preserve"> Provisiones: objetivo de su creación, monto y plazo: NO APLICA </w:t>
      </w:r>
    </w:p>
    <w:p w14:paraId="2AAB87C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g)</w:t>
      </w:r>
      <w:r w:rsidRPr="0089151C">
        <w:rPr>
          <w:rFonts w:ascii="Arial" w:hAnsi="Arial" w:cs="Arial"/>
          <w:sz w:val="20"/>
          <w:szCs w:val="20"/>
          <w:lang w:val="es-ES" w:eastAsia="es-ES"/>
        </w:rPr>
        <w:t xml:space="preserve"> Reservas: objetivo de su creación, monto y plazo: NO APLICA</w:t>
      </w:r>
    </w:p>
    <w:p w14:paraId="1185910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h)</w:t>
      </w:r>
      <w:r w:rsidRPr="0089151C">
        <w:rPr>
          <w:rFonts w:ascii="Arial" w:hAnsi="Arial" w:cs="Arial"/>
          <w:sz w:val="20"/>
          <w:szCs w:val="20"/>
          <w:lang w:val="es-ES" w:eastAsia="es-ES"/>
        </w:rPr>
        <w:t xml:space="preserve"> Cambios en políticas contables y corrección de errores junto con la revelación de los efectos que se tendrá en la información financiera del ente público, ya sea retrospectivos o prospectivos: NO APLICA</w:t>
      </w:r>
    </w:p>
    <w:p w14:paraId="4C196CF2"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i)</w:t>
      </w:r>
      <w:r w:rsidRPr="0089151C">
        <w:rPr>
          <w:rFonts w:ascii="Arial" w:hAnsi="Arial" w:cs="Arial"/>
          <w:sz w:val="20"/>
          <w:szCs w:val="20"/>
          <w:lang w:val="es-ES" w:eastAsia="es-ES"/>
        </w:rPr>
        <w:t xml:space="preserve"> Reclasificaciones: Se deben revelar todos aquellos movimientos entre cuentas por efectos de cambios en los tipos de operaciones: NO APLICA</w:t>
      </w:r>
    </w:p>
    <w:p w14:paraId="06754A9F"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j)</w:t>
      </w:r>
      <w:r w:rsidRPr="0089151C">
        <w:rPr>
          <w:rFonts w:ascii="Arial" w:hAnsi="Arial" w:cs="Arial"/>
          <w:sz w:val="20"/>
          <w:szCs w:val="20"/>
          <w:lang w:val="es-ES" w:eastAsia="es-ES"/>
        </w:rPr>
        <w:t xml:space="preserve"> Depuración y cancelación de saldos: NO APLICA</w:t>
      </w:r>
    </w:p>
    <w:p w14:paraId="5CBC6CE8"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43AAF47F"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7" w:name="_Toc508279627"/>
      <w:r w:rsidRPr="0089151C">
        <w:rPr>
          <w:rFonts w:ascii="Arial" w:eastAsia="Times New Roman" w:hAnsi="Arial" w:cs="Arial"/>
          <w:b/>
          <w:sz w:val="20"/>
          <w:szCs w:val="20"/>
          <w:lang w:val="es-ES" w:eastAsia="es-ES"/>
        </w:rPr>
        <w:t>7. Posición en Moneda Extranjera y Protección por Riesgo Cambiario:</w:t>
      </w:r>
      <w:bookmarkEnd w:id="7"/>
    </w:p>
    <w:p w14:paraId="10727B6A"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Activos en moneda extranjera: NO APLICA</w:t>
      </w:r>
    </w:p>
    <w:p w14:paraId="12F54BBB"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Pasivos en moneda extranjera: NO APLICA</w:t>
      </w:r>
    </w:p>
    <w:p w14:paraId="6766FD9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 xml:space="preserve">c) </w:t>
      </w:r>
      <w:r w:rsidRPr="0089151C">
        <w:rPr>
          <w:rFonts w:ascii="Arial" w:hAnsi="Arial" w:cs="Arial"/>
          <w:sz w:val="20"/>
          <w:szCs w:val="20"/>
          <w:lang w:val="es-ES" w:eastAsia="es-ES"/>
        </w:rPr>
        <w:t>Posición en moneda extranjera: NO APLICA</w:t>
      </w:r>
    </w:p>
    <w:p w14:paraId="751AFCE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d)</w:t>
      </w:r>
      <w:r w:rsidRPr="0089151C">
        <w:rPr>
          <w:rFonts w:ascii="Arial" w:hAnsi="Arial" w:cs="Arial"/>
          <w:sz w:val="20"/>
          <w:szCs w:val="20"/>
          <w:lang w:val="es-ES" w:eastAsia="es-ES"/>
        </w:rPr>
        <w:t xml:space="preserve"> Tipo de cambio: NO APLICA</w:t>
      </w:r>
    </w:p>
    <w:p w14:paraId="2764A6C6"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 xml:space="preserve">e) </w:t>
      </w:r>
      <w:r w:rsidRPr="0089151C">
        <w:rPr>
          <w:rFonts w:ascii="Arial" w:hAnsi="Arial" w:cs="Arial"/>
          <w:sz w:val="20"/>
          <w:szCs w:val="20"/>
          <w:lang w:val="es-ES" w:eastAsia="es-ES"/>
        </w:rPr>
        <w:t>Equivalente en moneda nacional: NO APLICA</w:t>
      </w:r>
    </w:p>
    <w:p w14:paraId="5B5EBBCA" w14:textId="77777777" w:rsidR="0089151C" w:rsidRPr="0089151C" w:rsidRDefault="0089151C" w:rsidP="0089151C">
      <w:pPr>
        <w:spacing w:after="0" w:line="240" w:lineRule="auto"/>
        <w:rPr>
          <w:rFonts w:ascii="Arial" w:eastAsia="Times New Roman" w:hAnsi="Arial" w:cs="Arial"/>
          <w:b/>
          <w:sz w:val="20"/>
          <w:szCs w:val="20"/>
          <w:lang w:val="es-ES" w:eastAsia="es-ES"/>
        </w:rPr>
      </w:pPr>
    </w:p>
    <w:p w14:paraId="5C57279F"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8" w:name="_Toc508279628"/>
      <w:r w:rsidRPr="0089151C">
        <w:rPr>
          <w:rFonts w:ascii="Arial" w:eastAsia="Times New Roman" w:hAnsi="Arial" w:cs="Arial"/>
          <w:b/>
          <w:sz w:val="20"/>
          <w:szCs w:val="20"/>
          <w:lang w:val="es-ES" w:eastAsia="es-ES"/>
        </w:rPr>
        <w:t>8. Reporte Analítico del Activo:</w:t>
      </w:r>
      <w:bookmarkEnd w:id="8"/>
    </w:p>
    <w:p w14:paraId="1697E68A"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Vida útil o porcentajes de depreciación, deterioro o amortización utilizados en los diferentes tipos de activos:</w:t>
      </w:r>
    </w:p>
    <w:p w14:paraId="5C74059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APICAN LOS ESTABLECIDOS EN CONAC</w:t>
      </w:r>
    </w:p>
    <w:p w14:paraId="6A063F7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Cambios en el porcentaje de depreciación o valor residual de los activos: NO APLICA</w:t>
      </w:r>
    </w:p>
    <w:p w14:paraId="0CBD0C5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c)</w:t>
      </w:r>
      <w:r w:rsidRPr="0089151C">
        <w:rPr>
          <w:rFonts w:ascii="Arial" w:hAnsi="Arial" w:cs="Arial"/>
          <w:sz w:val="20"/>
          <w:szCs w:val="20"/>
          <w:lang w:val="es-ES" w:eastAsia="es-ES"/>
        </w:rPr>
        <w:t xml:space="preserve"> Importe de los gastos capitalizados en el ejercicio, tanto financieros como de investigación y desarrollo: NO APLICA</w:t>
      </w:r>
    </w:p>
    <w:p w14:paraId="4B8E950F"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d)</w:t>
      </w:r>
      <w:r w:rsidRPr="0089151C">
        <w:rPr>
          <w:rFonts w:ascii="Arial" w:hAnsi="Arial" w:cs="Arial"/>
          <w:sz w:val="20"/>
          <w:szCs w:val="20"/>
          <w:lang w:val="es-ES" w:eastAsia="es-ES"/>
        </w:rPr>
        <w:t xml:space="preserve"> Riesgos por tipo de cambio o tipo de interés de las inversiones financieras: NO APLICA</w:t>
      </w:r>
    </w:p>
    <w:p w14:paraId="37F9302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 xml:space="preserve">e) </w:t>
      </w:r>
      <w:r w:rsidRPr="0089151C">
        <w:rPr>
          <w:rFonts w:ascii="Arial" w:hAnsi="Arial" w:cs="Arial"/>
          <w:sz w:val="20"/>
          <w:szCs w:val="20"/>
          <w:lang w:val="es-ES" w:eastAsia="es-ES"/>
        </w:rPr>
        <w:t>Valor activado en el ejercicio de los bienes construidos por la entidad: NO APLICA</w:t>
      </w:r>
    </w:p>
    <w:p w14:paraId="6DB9EC0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lastRenderedPageBreak/>
        <w:t>f)</w:t>
      </w:r>
      <w:r w:rsidRPr="0089151C">
        <w:rPr>
          <w:rFonts w:ascii="Arial" w:hAnsi="Arial" w:cs="Arial"/>
          <w:sz w:val="20"/>
          <w:szCs w:val="20"/>
          <w:lang w:val="es-ES" w:eastAsia="es-ES"/>
        </w:rPr>
        <w:t xml:space="preserve"> Otras circunstancias de carácter significativo que afecten el activo, tales como bienes en garantía, señalados en embargos, litigios, títulos de inversiones entregados en garantías, baja significativa del valor de inversiones financieras, etc.: NO APLICA</w:t>
      </w:r>
    </w:p>
    <w:p w14:paraId="10A01BB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g)</w:t>
      </w:r>
      <w:r w:rsidRPr="0089151C">
        <w:rPr>
          <w:rFonts w:ascii="Arial" w:hAnsi="Arial" w:cs="Arial"/>
          <w:sz w:val="20"/>
          <w:szCs w:val="20"/>
          <w:lang w:val="es-ES" w:eastAsia="es-ES"/>
        </w:rPr>
        <w:t xml:space="preserve"> Desmantelamiento de Activos, procedimientos, implicaciones, efectos contables: NO APLICA</w:t>
      </w:r>
    </w:p>
    <w:p w14:paraId="6954E3D2"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h)</w:t>
      </w:r>
      <w:r w:rsidRPr="0089151C">
        <w:rPr>
          <w:rFonts w:ascii="Arial" w:hAnsi="Arial" w:cs="Arial"/>
          <w:sz w:val="20"/>
          <w:szCs w:val="20"/>
          <w:lang w:val="es-ES" w:eastAsia="es-ES"/>
        </w:rPr>
        <w:t xml:space="preserve"> Administración de activos; planeación con el objetivo de que el ente los utilice de manera más efectiva:</w:t>
      </w:r>
    </w:p>
    <w:p w14:paraId="78B4D80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Adicionalmente, se deben incluir las explicaciones de las principales variaciones en el activo, en cuadros comparativos como sigue:</w:t>
      </w:r>
    </w:p>
    <w:p w14:paraId="4CD0CEE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Inversiones en valores: NO APLICA</w:t>
      </w:r>
    </w:p>
    <w:p w14:paraId="019F251B"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Patrimonio de Organismos descentralizados de Control Presupuestario Indirecto: NO APLICA</w:t>
      </w:r>
    </w:p>
    <w:p w14:paraId="515F297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c)</w:t>
      </w:r>
      <w:r w:rsidRPr="0089151C">
        <w:rPr>
          <w:rFonts w:ascii="Arial" w:hAnsi="Arial" w:cs="Arial"/>
          <w:sz w:val="20"/>
          <w:szCs w:val="20"/>
          <w:lang w:val="es-ES" w:eastAsia="es-ES"/>
        </w:rPr>
        <w:t xml:space="preserve"> Inversiones en empresas de participación mayoritaria: NO APLICA</w:t>
      </w:r>
    </w:p>
    <w:p w14:paraId="4AC69DF6"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d)</w:t>
      </w:r>
      <w:r w:rsidRPr="0089151C">
        <w:rPr>
          <w:rFonts w:ascii="Arial" w:hAnsi="Arial" w:cs="Arial"/>
          <w:sz w:val="20"/>
          <w:szCs w:val="20"/>
          <w:lang w:val="es-ES" w:eastAsia="es-ES"/>
        </w:rPr>
        <w:t xml:space="preserve"> Inversiones en empresas de participación minoritaria: NO APLICA</w:t>
      </w:r>
    </w:p>
    <w:p w14:paraId="40A6C29B"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e)</w:t>
      </w:r>
      <w:r w:rsidRPr="0089151C">
        <w:rPr>
          <w:rFonts w:ascii="Arial" w:hAnsi="Arial" w:cs="Arial"/>
          <w:sz w:val="20"/>
          <w:szCs w:val="20"/>
          <w:lang w:val="es-ES" w:eastAsia="es-ES"/>
        </w:rPr>
        <w:t xml:space="preserve"> Patrimonio de organismos descentralizados de control presupuestario directo, según corresponda: NO APLICA</w:t>
      </w:r>
    </w:p>
    <w:p w14:paraId="58847EC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6E00D3FC"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9" w:name="_Toc508279629"/>
      <w:r w:rsidRPr="0089151C">
        <w:rPr>
          <w:rFonts w:ascii="Arial" w:eastAsia="Times New Roman" w:hAnsi="Arial" w:cs="Arial"/>
          <w:b/>
          <w:sz w:val="20"/>
          <w:szCs w:val="20"/>
          <w:lang w:val="es-ES" w:eastAsia="es-ES"/>
        </w:rPr>
        <w:t>9. Fideicomisos, Mandatos y Análogos:</w:t>
      </w:r>
      <w:bookmarkEnd w:id="9"/>
    </w:p>
    <w:p w14:paraId="30D16B2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deberá informar:</w:t>
      </w:r>
    </w:p>
    <w:p w14:paraId="6D0778C6"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Por ramo administrativo que los reporta: NO APLICA</w:t>
      </w:r>
    </w:p>
    <w:p w14:paraId="52B12F1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Enlistar los de mayor monto de disponibilidad, relacionando aquéllos que conforman el 80% de las disponibilidades: NO APLICA</w:t>
      </w:r>
    </w:p>
    <w:p w14:paraId="7267E28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1669AA09"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0" w:name="_Toc508279630"/>
      <w:r w:rsidRPr="0089151C">
        <w:rPr>
          <w:rFonts w:ascii="Arial" w:eastAsia="Times New Roman" w:hAnsi="Arial" w:cs="Arial"/>
          <w:b/>
          <w:sz w:val="20"/>
          <w:szCs w:val="20"/>
          <w:lang w:val="es-ES" w:eastAsia="es-ES"/>
        </w:rPr>
        <w:t>10. Reporte de la Recaudación:</w:t>
      </w:r>
      <w:bookmarkEnd w:id="10"/>
    </w:p>
    <w:p w14:paraId="6EACEB3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Análisis del comportamiento de la recaudación correspondiente al ente público o cualquier tipo de ingreso, de forma separada los ingresos locales de los federales: NO APLICA</w:t>
      </w:r>
    </w:p>
    <w:p w14:paraId="7AC895E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Proyección de la recaudación e ingresos en el mediano plazo: NO APLICA</w:t>
      </w:r>
    </w:p>
    <w:p w14:paraId="7C2C127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41CC4A33"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1" w:name="_Toc508279631"/>
      <w:r w:rsidRPr="0089151C">
        <w:rPr>
          <w:rFonts w:ascii="Arial" w:eastAsia="Times New Roman" w:hAnsi="Arial" w:cs="Arial"/>
          <w:b/>
          <w:sz w:val="20"/>
          <w:szCs w:val="20"/>
          <w:lang w:val="es-ES" w:eastAsia="es-ES"/>
        </w:rPr>
        <w:t>11. Información sobre la Deuda y el Reporte Analítico de la Deuda:</w:t>
      </w:r>
      <w:bookmarkEnd w:id="11"/>
    </w:p>
    <w:p w14:paraId="5547559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Utilizar al menos los siguientes indicadores: deuda respecto al PIB y deuda respecto a la recaudación tomando, como mínimo, un período igual o menor a 5 años. NO APLICA</w:t>
      </w:r>
    </w:p>
    <w:p w14:paraId="2CAADA72"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Información de manera agrupada por tipo de valor gubernamental o instrumento financiero en la que se consideren intereses, comisiones, tasa, perfil de vencimiento y otros gastos de la deuda. NO APLICA</w:t>
      </w:r>
    </w:p>
    <w:p w14:paraId="318B0C6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Se anexará la información en las notas de desglose.</w:t>
      </w:r>
    </w:p>
    <w:p w14:paraId="3E68703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47A6A84E"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2" w:name="_Toc508279632"/>
      <w:r w:rsidRPr="0089151C">
        <w:rPr>
          <w:rFonts w:ascii="Arial" w:eastAsia="Times New Roman" w:hAnsi="Arial" w:cs="Arial"/>
          <w:b/>
          <w:sz w:val="20"/>
          <w:szCs w:val="20"/>
          <w:lang w:val="es-ES" w:eastAsia="es-ES"/>
        </w:rPr>
        <w:t>12. Calificaciones otorgadas:</w:t>
      </w:r>
      <w:bookmarkEnd w:id="12"/>
    </w:p>
    <w:p w14:paraId="5F93918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Informar, tanto del ente público como cualquier transacción realizada, que haya sido sujeta a una calificación crediticia: NO APLICA</w:t>
      </w:r>
    </w:p>
    <w:p w14:paraId="3B41BB2F"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63B6D230"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3" w:name="_Toc508279633"/>
      <w:r w:rsidRPr="0089151C">
        <w:rPr>
          <w:rFonts w:ascii="Arial" w:eastAsia="Times New Roman" w:hAnsi="Arial" w:cs="Arial"/>
          <w:b/>
          <w:sz w:val="20"/>
          <w:szCs w:val="20"/>
          <w:lang w:val="es-ES" w:eastAsia="es-ES"/>
        </w:rPr>
        <w:t>13. Proceso de Mejora:</w:t>
      </w:r>
      <w:bookmarkEnd w:id="13"/>
    </w:p>
    <w:p w14:paraId="77AA6CA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Principales Políticas de control interno:</w:t>
      </w:r>
    </w:p>
    <w:p w14:paraId="60172E1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implementó que la totalidad de los pagos a proveedores de bienes y servicios se haga a través de transferencias electrónicas y en su caso con cheque nominativo para abono en cuenta del beneficiario.</w:t>
      </w:r>
    </w:p>
    <w:p w14:paraId="7450FAA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Medidas de desempeño financiero, metas y alcance:</w:t>
      </w:r>
    </w:p>
    <w:p w14:paraId="61ACDCF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3FA6CDB9"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4" w:name="_Toc508279634"/>
      <w:r w:rsidRPr="0089151C">
        <w:rPr>
          <w:rFonts w:ascii="Arial" w:eastAsia="Times New Roman" w:hAnsi="Arial" w:cs="Arial"/>
          <w:b/>
          <w:sz w:val="20"/>
          <w:szCs w:val="20"/>
          <w:lang w:val="es-ES" w:eastAsia="es-ES"/>
        </w:rPr>
        <w:lastRenderedPageBreak/>
        <w:t>14. Información por Segmentos:</w:t>
      </w:r>
      <w:bookmarkEnd w:id="14"/>
    </w:p>
    <w:p w14:paraId="7D2EF6B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0DBABEE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Consecuentemente, esta información contribuye al análisis más preciso de la situación financiera, grados y fuentes de riesgo y crecimiento potencial de negocio.</w:t>
      </w:r>
    </w:p>
    <w:p w14:paraId="5039FB88"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5" w:name="_Toc508279635"/>
      <w:r w:rsidRPr="0089151C">
        <w:rPr>
          <w:rFonts w:ascii="Arial" w:eastAsia="Times New Roman" w:hAnsi="Arial" w:cs="Arial"/>
          <w:b/>
          <w:sz w:val="20"/>
          <w:szCs w:val="20"/>
          <w:lang w:val="es-ES" w:eastAsia="es-ES"/>
        </w:rPr>
        <w:t>15. Eventos Posteriores al Cierre:</w:t>
      </w:r>
      <w:bookmarkEnd w:id="15"/>
    </w:p>
    <w:p w14:paraId="5B736DEA"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El ente público informará el efecto en sus estados financieros de aquellos hechos ocurridos en el período posterior al que informa, que proporcionan mayor evidencia sobre eventos que le afectan económicamente y que no se conocían a la fecha de cierre.</w:t>
      </w:r>
    </w:p>
    <w:p w14:paraId="764C9E38"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745EBFFA"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6" w:name="_Toc508279636"/>
      <w:r w:rsidRPr="0089151C">
        <w:rPr>
          <w:rFonts w:ascii="Arial" w:eastAsia="Times New Roman" w:hAnsi="Arial" w:cs="Arial"/>
          <w:b/>
          <w:sz w:val="20"/>
          <w:szCs w:val="20"/>
          <w:lang w:val="es-ES" w:eastAsia="es-ES"/>
        </w:rPr>
        <w:t>16. Partes Relacionadas:</w:t>
      </w:r>
      <w:bookmarkEnd w:id="16"/>
    </w:p>
    <w:p w14:paraId="71F7E0EA"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debe establecer por escrito que no existen partes relacionadas que pudieran ejercer influencia significativa sobre la toma de decisiones financieras y operativas: NO APLICA</w:t>
      </w:r>
    </w:p>
    <w:p w14:paraId="4D7C5E0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37301779"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7" w:name="_Toc508279637"/>
      <w:r w:rsidRPr="0089151C">
        <w:rPr>
          <w:rFonts w:ascii="Arial" w:eastAsia="Times New Roman" w:hAnsi="Arial" w:cs="Arial"/>
          <w:b/>
          <w:sz w:val="20"/>
          <w:szCs w:val="20"/>
          <w:lang w:val="es-ES" w:eastAsia="es-ES"/>
        </w:rPr>
        <w:t>17. Responsabilidad Sobre la Presentación Razonable de la Información Contable:</w:t>
      </w:r>
      <w:bookmarkEnd w:id="17"/>
    </w:p>
    <w:p w14:paraId="4B014A22"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La Información Contable está firmada en cada página de la misma y se incluye al final la siguiente leyenda: “Bajo protesta de decir verdad declaramos que los Estados Financieros y sus notas, son razonablemente correctos y son responsabilidad del emisor”. Lo anterior, no es aplicable para la información contable consolidada.</w:t>
      </w:r>
    </w:p>
    <w:p w14:paraId="0B85D7A4"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28AE6786"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45C65B51"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65AA11E2"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487CF4AD"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7CC36810"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6F7C1822"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06B6C6F8" w14:textId="77777777" w:rsidR="0089151C" w:rsidRPr="0089151C" w:rsidRDefault="0089151C" w:rsidP="0089151C">
      <w:pPr>
        <w:spacing w:after="0" w:line="240" w:lineRule="auto"/>
        <w:rPr>
          <w:rFonts w:ascii="Arial" w:eastAsia="Times New Roman" w:hAnsi="Arial" w:cs="Arial"/>
          <w:sz w:val="20"/>
          <w:szCs w:val="20"/>
          <w:lang w:val="es-ES" w:eastAsia="es-ES"/>
        </w:rPr>
      </w:pPr>
      <w:r w:rsidRPr="0089151C">
        <w:rPr>
          <w:rFonts w:ascii="Arial" w:eastAsia="Times New Roman" w:hAnsi="Arial" w:cs="Arial"/>
          <w:sz w:val="20"/>
          <w:szCs w:val="20"/>
          <w:lang w:val="es-ES" w:eastAsia="es-ES"/>
        </w:rPr>
        <w:object w:dxaOrig="24080" w:dyaOrig="926" w14:anchorId="308EF9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4.5pt;height:26.25pt" o:ole="">
            <v:imagedata r:id="rId12" o:title=""/>
          </v:shape>
          <o:OLEObject Type="Embed" ProgID="Excel.Sheet.12" ShapeID="_x0000_i1025" DrawAspect="Content" ObjectID="_1664184862" r:id="rId13"/>
        </w:object>
      </w:r>
    </w:p>
    <w:p w14:paraId="2CFBB9E3"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5017103B"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1FD68E50"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051E559A"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77C6B3CF"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1CECF540"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49896533"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3826B049"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3F45A0BC"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6D341952"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44AE5097" w14:textId="77777777" w:rsidR="0089151C" w:rsidRDefault="0089151C" w:rsidP="00CB41C4">
      <w:pPr>
        <w:tabs>
          <w:tab w:val="left" w:leader="underscore" w:pos="9639"/>
        </w:tabs>
        <w:spacing w:after="0" w:line="240" w:lineRule="auto"/>
        <w:jc w:val="both"/>
        <w:rPr>
          <w:rFonts w:cs="Calibri"/>
        </w:rPr>
      </w:pPr>
    </w:p>
    <w:sectPr w:rsidR="0089151C" w:rsidSect="00E50B53">
      <w:headerReference w:type="default" r:id="rId14"/>
      <w:footerReference w:type="default" r:id="rId15"/>
      <w:pgSz w:w="15840" w:h="12240" w:orient="landscape" w:code="1"/>
      <w:pgMar w:top="567" w:right="720" w:bottom="567" w:left="737"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0FE82D" w14:textId="77777777" w:rsidR="00FE4F75" w:rsidRDefault="00FE4F75" w:rsidP="00E00323">
      <w:pPr>
        <w:spacing w:after="0" w:line="240" w:lineRule="auto"/>
      </w:pPr>
      <w:r>
        <w:separator/>
      </w:r>
    </w:p>
  </w:endnote>
  <w:endnote w:type="continuationSeparator" w:id="0">
    <w:p w14:paraId="3604029C" w14:textId="77777777" w:rsidR="00FE4F75" w:rsidRDefault="00FE4F75"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4267310"/>
      <w:docPartObj>
        <w:docPartGallery w:val="Page Numbers (Bottom of Page)"/>
        <w:docPartUnique/>
      </w:docPartObj>
    </w:sdtPr>
    <w:sdtEndPr/>
    <w:sdtContent>
      <w:p w14:paraId="45A1378E" w14:textId="64890E7E" w:rsidR="0012405A" w:rsidRDefault="0012405A">
        <w:pPr>
          <w:pStyle w:val="Piedepgina"/>
          <w:jc w:val="right"/>
        </w:pPr>
        <w:r>
          <w:fldChar w:fldCharType="begin"/>
        </w:r>
        <w:r>
          <w:instrText>PAGE   \* MERGEFORMAT</w:instrText>
        </w:r>
        <w:r>
          <w:fldChar w:fldCharType="separate"/>
        </w:r>
        <w:r w:rsidR="00104AEB" w:rsidRPr="00104AEB">
          <w:rPr>
            <w:noProof/>
            <w:lang w:val="es-ES"/>
          </w:rPr>
          <w:t>3</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210DE4" w14:textId="77777777" w:rsidR="00FE4F75" w:rsidRDefault="00FE4F75" w:rsidP="00E00323">
      <w:pPr>
        <w:spacing w:after="0" w:line="240" w:lineRule="auto"/>
      </w:pPr>
      <w:r>
        <w:separator/>
      </w:r>
    </w:p>
  </w:footnote>
  <w:footnote w:type="continuationSeparator" w:id="0">
    <w:p w14:paraId="1B617836" w14:textId="77777777" w:rsidR="00FE4F75" w:rsidRDefault="00FE4F75" w:rsidP="00E003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C548F" w14:textId="4A21F049" w:rsidR="00154BA3" w:rsidRDefault="00E46E7C" w:rsidP="00A4610E">
    <w:pPr>
      <w:pStyle w:val="Encabezado"/>
      <w:spacing w:after="0" w:line="240" w:lineRule="auto"/>
      <w:jc w:val="center"/>
    </w:pPr>
    <w:r>
      <w:t>INSTITUTO TECNOLOGICO SUPERIOR DE SALVATIERRA</w:t>
    </w:r>
  </w:p>
  <w:p w14:paraId="651A4C4F" w14:textId="160F77C3" w:rsidR="00A4610E" w:rsidRDefault="00E50B53" w:rsidP="00104AEB">
    <w:pPr>
      <w:pStyle w:val="Encabezado"/>
      <w:spacing w:after="0" w:line="240" w:lineRule="auto"/>
      <w:jc w:val="center"/>
    </w:pPr>
    <w:r>
      <w:t>CORRESPONDINTES AL 30</w:t>
    </w:r>
    <w:r w:rsidR="003E1E17">
      <w:t xml:space="preserve"> DE </w:t>
    </w:r>
    <w:r w:rsidR="00104AEB">
      <w:t>SEPTIEMBRE</w:t>
    </w:r>
    <w:r w:rsidR="00CD3524">
      <w:t xml:space="preserve"> DE 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63A62C62"/>
    <w:multiLevelType w:val="hybridMultilevel"/>
    <w:tmpl w:val="130284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40D4F"/>
    <w:rsid w:val="00051157"/>
    <w:rsid w:val="00057A28"/>
    <w:rsid w:val="000632A9"/>
    <w:rsid w:val="00084EAE"/>
    <w:rsid w:val="00091CE6"/>
    <w:rsid w:val="000B7810"/>
    <w:rsid w:val="000C3365"/>
    <w:rsid w:val="00104AEB"/>
    <w:rsid w:val="0012405A"/>
    <w:rsid w:val="00154BA3"/>
    <w:rsid w:val="00162940"/>
    <w:rsid w:val="001816FD"/>
    <w:rsid w:val="001973A2"/>
    <w:rsid w:val="001C75F2"/>
    <w:rsid w:val="001D2063"/>
    <w:rsid w:val="001D43E9"/>
    <w:rsid w:val="00297D2A"/>
    <w:rsid w:val="002F4CB1"/>
    <w:rsid w:val="00325165"/>
    <w:rsid w:val="003453CA"/>
    <w:rsid w:val="00394218"/>
    <w:rsid w:val="003E15A6"/>
    <w:rsid w:val="003E1E17"/>
    <w:rsid w:val="004053D3"/>
    <w:rsid w:val="00435A87"/>
    <w:rsid w:val="004A58C8"/>
    <w:rsid w:val="004D55E0"/>
    <w:rsid w:val="004E1496"/>
    <w:rsid w:val="004F1296"/>
    <w:rsid w:val="0054701E"/>
    <w:rsid w:val="005D209F"/>
    <w:rsid w:val="005D3E43"/>
    <w:rsid w:val="005E231E"/>
    <w:rsid w:val="006257E1"/>
    <w:rsid w:val="00657009"/>
    <w:rsid w:val="00681C79"/>
    <w:rsid w:val="00757AE3"/>
    <w:rsid w:val="007610BC"/>
    <w:rsid w:val="007714AB"/>
    <w:rsid w:val="007D1E76"/>
    <w:rsid w:val="007D4484"/>
    <w:rsid w:val="00862795"/>
    <w:rsid w:val="0086459F"/>
    <w:rsid w:val="008808DB"/>
    <w:rsid w:val="0089151C"/>
    <w:rsid w:val="008C3BB8"/>
    <w:rsid w:val="008E076C"/>
    <w:rsid w:val="008F495C"/>
    <w:rsid w:val="0092765C"/>
    <w:rsid w:val="009702EC"/>
    <w:rsid w:val="00A3145C"/>
    <w:rsid w:val="00A4610E"/>
    <w:rsid w:val="00A730E0"/>
    <w:rsid w:val="00AA41E5"/>
    <w:rsid w:val="00AB722B"/>
    <w:rsid w:val="00AD66A3"/>
    <w:rsid w:val="00AE1F6A"/>
    <w:rsid w:val="00B8038C"/>
    <w:rsid w:val="00BA0257"/>
    <w:rsid w:val="00C97E1E"/>
    <w:rsid w:val="00CB41C4"/>
    <w:rsid w:val="00CD3524"/>
    <w:rsid w:val="00CE3613"/>
    <w:rsid w:val="00CF1316"/>
    <w:rsid w:val="00D13C44"/>
    <w:rsid w:val="00D26AFB"/>
    <w:rsid w:val="00D95C19"/>
    <w:rsid w:val="00D975B1"/>
    <w:rsid w:val="00DE774A"/>
    <w:rsid w:val="00E00323"/>
    <w:rsid w:val="00E46E7C"/>
    <w:rsid w:val="00E50B53"/>
    <w:rsid w:val="00E74967"/>
    <w:rsid w:val="00EA37F5"/>
    <w:rsid w:val="00EA7915"/>
    <w:rsid w:val="00F02B9E"/>
    <w:rsid w:val="00F17BD1"/>
    <w:rsid w:val="00F3665C"/>
    <w:rsid w:val="00F46719"/>
    <w:rsid w:val="00F54F6F"/>
    <w:rsid w:val="00F63C97"/>
    <w:rsid w:val="00FC443C"/>
    <w:rsid w:val="00FE4F7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Puesto">
    <w:name w:val="Title"/>
    <w:basedOn w:val="Normal"/>
    <w:next w:val="Normal"/>
    <w:link w:val="Puest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de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Hoja_de_c_lculo_de_Microsoft_Excel1.xlsx"/><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94D10266-EDA5-4311-94C9-A7F680BF8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2140</Words>
  <Characters>11776</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13889</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Hewlett-Packard Company</cp:lastModifiedBy>
  <cp:revision>2</cp:revision>
  <cp:lastPrinted>2020-07-16T16:42:00Z</cp:lastPrinted>
  <dcterms:created xsi:type="dcterms:W3CDTF">2020-10-14T17:48:00Z</dcterms:created>
  <dcterms:modified xsi:type="dcterms:W3CDTF">2020-10-14T17:48:00Z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